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E4" w:rsidRPr="00D854C2" w:rsidRDefault="00F35FE4" w:rsidP="00F35FE4">
      <w:pPr>
        <w:pStyle w:val="4"/>
        <w:jc w:val="center"/>
        <w:rPr>
          <w:rFonts w:ascii="Garamond" w:hAnsi="Garamond"/>
          <w:bCs w:val="0"/>
          <w:sz w:val="24"/>
        </w:rPr>
      </w:pPr>
      <w:r w:rsidRPr="00D854C2">
        <w:rPr>
          <w:rFonts w:ascii="Garamond" w:hAnsi="Garamond"/>
          <w:bCs w:val="0"/>
          <w:sz w:val="24"/>
        </w:rPr>
        <w:t>Анализ рынка жилой недвижимости.</w:t>
      </w:r>
    </w:p>
    <w:p w:rsidR="00F35FE4" w:rsidRDefault="00F35FE4" w:rsidP="00F35FE4">
      <w:pPr>
        <w:jc w:val="both"/>
      </w:pPr>
    </w:p>
    <w:p w:rsidR="00F35FE4" w:rsidRDefault="00F35FE4" w:rsidP="00F35FE4">
      <w:pPr>
        <w:ind w:right="-105" w:firstLine="708"/>
        <w:jc w:val="both"/>
      </w:pPr>
      <w:r>
        <w:t>Рынок жилой недвижимости можно разделить на два сегмента:</w:t>
      </w:r>
    </w:p>
    <w:p w:rsidR="00F35FE4" w:rsidRDefault="00F35FE4" w:rsidP="00F35FE4">
      <w:pPr>
        <w:ind w:right="-105" w:firstLine="708"/>
        <w:jc w:val="both"/>
      </w:pPr>
      <w:r>
        <w:t>- рынок жилья на первичном рынке (новостройки);</w:t>
      </w:r>
    </w:p>
    <w:p w:rsidR="00F35FE4" w:rsidRDefault="00F35FE4" w:rsidP="00F35FE4">
      <w:pPr>
        <w:ind w:right="-105" w:firstLine="708"/>
        <w:jc w:val="both"/>
      </w:pPr>
      <w:r>
        <w:t>- рынок жилья на вторичном рынке (жилье, бывшее в использовании).</w:t>
      </w:r>
    </w:p>
    <w:p w:rsidR="00F35FE4" w:rsidRDefault="00F35FE4" w:rsidP="00F35FE4">
      <w:pPr>
        <w:ind w:right="-105" w:firstLine="708"/>
        <w:jc w:val="both"/>
      </w:pPr>
    </w:p>
    <w:p w:rsidR="00F35FE4" w:rsidRDefault="00F35FE4" w:rsidP="00F35FE4">
      <w:pPr>
        <w:ind w:right="-105" w:firstLine="708"/>
        <w:jc w:val="both"/>
      </w:pPr>
      <w:r>
        <w:t xml:space="preserve">Рынок жилья новостроек сильно зависит от строительной отрасли и инвестиции в новое строительство. </w:t>
      </w:r>
    </w:p>
    <w:p w:rsidR="00F35FE4" w:rsidRDefault="00F35FE4" w:rsidP="00F35FE4">
      <w:pPr>
        <w:ind w:right="-105" w:firstLine="708"/>
        <w:jc w:val="both"/>
      </w:pPr>
      <w:r>
        <w:t>Объемы строительства сильно влияют на цену квадратного метра. Причем интересно, что влияние это крайне несимметрично. То есть недостаток новых площадей способен запустить б</w:t>
      </w:r>
      <w:r>
        <w:t>ы</w:t>
      </w:r>
      <w:r>
        <w:t>стрый рост цен, а последующий активный ввод в строй нового жилья тормозит увеличение цен на недвижимость медленно и долго. Например, доходы населения по какой-то причине стали заметно выше прожиточного минимума. Люди, устреми</w:t>
      </w:r>
      <w:r>
        <w:t>в</w:t>
      </w:r>
      <w:r>
        <w:t>шиеся за жильем, не могут получить его в нужном количестве, потому что строительные компании, а главное, местные власти не успели среагировать вовремя. Спрос прев</w:t>
      </w:r>
      <w:r>
        <w:t>ы</w:t>
      </w:r>
      <w:r>
        <w:t>шает предложение – растут цены. Растут быстро, что мы и наблюдали в 2007-2008гг. в большинстве крупных городов. Маятник набирает инерцию. В этом случае, даже если «выбросить» на рынок квадратные метры в достаточном для удовлетв</w:t>
      </w:r>
      <w:r>
        <w:t>о</w:t>
      </w:r>
      <w:r>
        <w:t>рения всех желающих количестве, такого же быстрого снижения цен не произойдет – в этом не заинт</w:t>
      </w:r>
      <w:r>
        <w:t>е</w:t>
      </w:r>
      <w:r>
        <w:t>ресованы продавцы. Стремясь использовать энергию маятника по максимуму, они будут ждать, пока относительная покупательская способность населения не иссякнет. Ограничить амплитуду маятника может тол</w:t>
      </w:r>
      <w:r>
        <w:t>ь</w:t>
      </w:r>
      <w:r>
        <w:t>ко конкуренция строительных компаний и их дилеров. Заинтересованные в быстром обороте капитала, они могут сбросить цены на свои объекты для получения конкурентного преимущес</w:t>
      </w:r>
      <w:r>
        <w:t>т</w:t>
      </w:r>
      <w:r>
        <w:t xml:space="preserve">ва. </w:t>
      </w:r>
    </w:p>
    <w:p w:rsidR="00F35FE4" w:rsidRDefault="00F35FE4" w:rsidP="00F35FE4">
      <w:pPr>
        <w:ind w:right="-105" w:firstLine="708"/>
        <w:jc w:val="both"/>
      </w:pPr>
      <w:r>
        <w:t>Проведем анализ стоимости 1 кв.м. жилья в новостройках по городам Тульской области.</w:t>
      </w:r>
    </w:p>
    <w:p w:rsidR="00F35FE4" w:rsidRDefault="00F35FE4" w:rsidP="00F35FE4">
      <w:pPr>
        <w:jc w:val="both"/>
      </w:pPr>
      <w:r>
        <w:tab/>
        <w:t xml:space="preserve">Рынок первичного жилья в области по сравнению с рынком г. </w:t>
      </w:r>
      <w:smartTag w:uri="urn:schemas-microsoft-com:office:smarttags" w:element="PersonName">
        <w:r>
          <w:t>Тула</w:t>
        </w:r>
      </w:smartTag>
      <w:r>
        <w:t xml:space="preserve"> можно смело назвать слабо развитым. Это проявляется в низких объемах строительства и малом количестве публи</w:t>
      </w:r>
      <w:r>
        <w:t>ч</w:t>
      </w:r>
      <w:r>
        <w:t>ных предложений.</w:t>
      </w:r>
    </w:p>
    <w:p w:rsidR="00F35FE4" w:rsidRDefault="00F35FE4" w:rsidP="00F35FE4">
      <w:pPr>
        <w:jc w:val="both"/>
      </w:pPr>
      <w:r>
        <w:tab/>
        <w:t>В основном, это города с численностью жителей более 15 тысяч человек, где сохранилась производственная инфраструктура и функцион</w:t>
      </w:r>
      <w:r>
        <w:t>и</w:t>
      </w:r>
      <w:r>
        <w:t>руют в полном объеме объекты социальной и бизнес - сферы.  Цена предложения определяется этими основными факторами. Дома, как пр</w:t>
      </w:r>
      <w:r>
        <w:t>а</w:t>
      </w:r>
      <w:r>
        <w:t>вило, строятся застройщиком за счет средств долевого участия будущих собственников, и к эт</w:t>
      </w:r>
      <w:r>
        <w:t>а</w:t>
      </w:r>
      <w:r>
        <w:t>пу сдачи жилья в эксплуатацию наиболее востребованные варианты квартир (по расположению, метражу, количеству комнат) уже имеют своих хозяев. Оставшееся незначительное количество свободных квартир и формирует недостаточное предложение, что, в конечном счете, отражается и на цене.</w:t>
      </w:r>
    </w:p>
    <w:p w:rsidR="00F35FE4" w:rsidRDefault="00F35FE4" w:rsidP="00F35FE4">
      <w:pPr>
        <w:pStyle w:val="a6"/>
        <w:jc w:val="right"/>
      </w:pPr>
      <w:r>
        <w:t xml:space="preserve">Рисунок </w:t>
      </w:r>
      <w:fldSimple w:instr=" SEQ Рисунок \* ARABIC ">
        <w:r>
          <w:rPr>
            <w:noProof/>
          </w:rPr>
          <w:t>16</w:t>
        </w:r>
      </w:fldSimple>
    </w:p>
    <w:p w:rsidR="00F35FE4" w:rsidRDefault="00F35FE4" w:rsidP="00F35FE4">
      <w:pPr>
        <w:jc w:val="center"/>
      </w:pPr>
      <w:r>
        <w:rPr>
          <w:noProof/>
        </w:rPr>
        <w:lastRenderedPageBreak/>
        <w:drawing>
          <wp:inline distT="0" distB="0" distL="0" distR="0">
            <wp:extent cx="6010275" cy="382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E4" w:rsidRPr="00E47EB6" w:rsidRDefault="00F35FE4" w:rsidP="00F35FE4">
      <w:pPr>
        <w:jc w:val="both"/>
      </w:pPr>
      <w:r>
        <w:tab/>
        <w:t>Как видно из диаграммы, наибольшая цена предложения – в г. Новомосковск, наименьшая – в Ясногорске, цены в остальных городах дост</w:t>
      </w:r>
      <w:r>
        <w:t>а</w:t>
      </w:r>
      <w:r>
        <w:t>точно близки к средней цене по области в данном сегменте.</w:t>
      </w:r>
    </w:p>
    <w:p w:rsidR="00F35FE4" w:rsidRDefault="00F35FE4" w:rsidP="00F35FE4">
      <w:pPr>
        <w:ind w:right="-105" w:firstLine="708"/>
        <w:jc w:val="both"/>
      </w:pPr>
      <w:r>
        <w:t>Анализ рынка жилой недвижимости в Тульской области на вторичном рынке представлен ниже. Данные для анализа взяты из открытых источником и представляют цены предложения квартир по населенным пунктам. В исследовании средней стоимости 1 кв.м. общей площади квартир на вторичном рынке принимали участие цены 1, 2 и 3- комнатных квартир в домах как кирпичного, так и панельного исполнения, этажностью, пр</w:t>
      </w:r>
      <w:r>
        <w:t>е</w:t>
      </w:r>
      <w:r>
        <w:t xml:space="preserve">имущественно до 5 этажей. Данный подход основывается на достаточно ограниченном предложении квартир по населенным пунктам по сравнению с г. </w:t>
      </w:r>
      <w:smartTag w:uri="urn:schemas-microsoft-com:office:smarttags" w:element="PersonName">
        <w:r>
          <w:t>Тула</w:t>
        </w:r>
      </w:smartTag>
      <w:r>
        <w:t>, и проведение детальное сегментирование рынка по конструктивному исполнению жилых домов, этажности и прочим параметрам пре</w:t>
      </w:r>
      <w:r>
        <w:t>д</w:t>
      </w:r>
      <w:r>
        <w:t>ставляется достаточно сложным. С учетом ограниченности рынка предложений и,  так как в расчете средней стоимости жилья участвует общая площадь квартиры, то в анализе сделано допущение о возможности использов</w:t>
      </w:r>
      <w:r>
        <w:t>а</w:t>
      </w:r>
      <w:r>
        <w:t>ния данных по квартирам с различным количеством комнат.</w:t>
      </w:r>
    </w:p>
    <w:p w:rsidR="00F35FE4" w:rsidRDefault="00F35FE4" w:rsidP="00F35FE4">
      <w:pPr>
        <w:ind w:right="-105" w:firstLine="708"/>
        <w:jc w:val="both"/>
      </w:pPr>
      <w:r>
        <w:t>Представленные населенные пункты практически полностью представляют Тульскую о</w:t>
      </w:r>
      <w:r>
        <w:t>б</w:t>
      </w:r>
      <w:r>
        <w:t>ласть, как по географическому признаку, так и по размеру и инфраструктуре населенных пунктов городского типа. Предложения в сельских поселениях единичны и не оказывают заметного влияния на рынок вт</w:t>
      </w:r>
      <w:r>
        <w:t>о</w:t>
      </w:r>
      <w:r>
        <w:t xml:space="preserve">ричного жилья. </w:t>
      </w:r>
    </w:p>
    <w:p w:rsidR="00F35FE4" w:rsidRDefault="00F35FE4" w:rsidP="00F35FE4">
      <w:pPr>
        <w:ind w:right="-105" w:firstLine="708"/>
        <w:jc w:val="both"/>
      </w:pPr>
      <w:r>
        <w:t xml:space="preserve">Обобщая, можно говорить о </w:t>
      </w:r>
      <w:proofErr w:type="spellStart"/>
      <w:r>
        <w:t>сформированности</w:t>
      </w:r>
      <w:proofErr w:type="spellEnd"/>
      <w:r>
        <w:t xml:space="preserve"> рынка вторичного жилья в области. Средняя цена 1 кв.м. составляет 25 375 </w:t>
      </w:r>
      <w:proofErr w:type="spellStart"/>
      <w:r>
        <w:t>руб</w:t>
      </w:r>
      <w:proofErr w:type="spellEnd"/>
      <w:r>
        <w:t>/</w:t>
      </w:r>
      <w:proofErr w:type="spellStart"/>
      <w:r>
        <w:t>кВ.м</w:t>
      </w:r>
      <w:proofErr w:type="spellEnd"/>
      <w:r>
        <w:t>. Осно</w:t>
      </w:r>
      <w:r>
        <w:t>в</w:t>
      </w:r>
      <w:r>
        <w:t>ные факторы, ее формирующие:</w:t>
      </w:r>
    </w:p>
    <w:p w:rsidR="00F35FE4" w:rsidRDefault="00F35FE4" w:rsidP="00F35FE4">
      <w:pPr>
        <w:ind w:right="-105" w:firstLine="708"/>
        <w:jc w:val="both"/>
      </w:pPr>
      <w:r>
        <w:t>- размер населенного пункта</w:t>
      </w:r>
    </w:p>
    <w:p w:rsidR="00F35FE4" w:rsidRDefault="00F35FE4" w:rsidP="00F35FE4">
      <w:pPr>
        <w:ind w:right="-105" w:firstLine="708"/>
        <w:jc w:val="both"/>
      </w:pPr>
      <w:r>
        <w:t>- состояние социальной инфраструктуры и перспективы ее развития</w:t>
      </w:r>
    </w:p>
    <w:p w:rsidR="00F35FE4" w:rsidRDefault="00F35FE4" w:rsidP="00F35FE4">
      <w:pPr>
        <w:ind w:right="-105" w:firstLine="708"/>
        <w:jc w:val="both"/>
      </w:pPr>
      <w:r>
        <w:t>- развитость рынка труда</w:t>
      </w:r>
    </w:p>
    <w:p w:rsidR="00F35FE4" w:rsidRDefault="00F35FE4" w:rsidP="00F35FE4">
      <w:pPr>
        <w:ind w:right="-105" w:firstLine="708"/>
        <w:jc w:val="both"/>
      </w:pPr>
      <w:r>
        <w:t xml:space="preserve">- экологическая обстановка в районе и городе </w:t>
      </w:r>
    </w:p>
    <w:p w:rsidR="00F35FE4" w:rsidRDefault="00F35FE4" w:rsidP="00F35FE4">
      <w:pPr>
        <w:pStyle w:val="a6"/>
        <w:jc w:val="right"/>
      </w:pPr>
    </w:p>
    <w:p w:rsidR="00F35FE4" w:rsidRPr="00404C3D" w:rsidRDefault="00F35FE4" w:rsidP="00F35FE4">
      <w:pPr>
        <w:rPr>
          <w:i/>
        </w:rPr>
      </w:pPr>
      <w:proofErr w:type="spellStart"/>
      <w:r w:rsidRPr="002152B1">
        <w:rPr>
          <w:i/>
        </w:rPr>
        <w:t>Скриншоты</w:t>
      </w:r>
      <w:proofErr w:type="spellEnd"/>
      <w:r w:rsidRPr="002152B1">
        <w:rPr>
          <w:i/>
        </w:rPr>
        <w:t xml:space="preserve"> объявлений представлены в Приложении 2 «Данные для анализа</w:t>
      </w:r>
      <w:r>
        <w:rPr>
          <w:i/>
        </w:rPr>
        <w:t>»/</w:t>
      </w:r>
      <w:r w:rsidRPr="00404C3D">
        <w:t xml:space="preserve"> </w:t>
      </w:r>
      <w:r w:rsidRPr="00404C3D">
        <w:rPr>
          <w:i/>
        </w:rPr>
        <w:t>Данные для ан</w:t>
      </w:r>
      <w:r w:rsidRPr="00404C3D">
        <w:rPr>
          <w:i/>
        </w:rPr>
        <w:t>а</w:t>
      </w:r>
      <w:r w:rsidRPr="00404C3D">
        <w:rPr>
          <w:i/>
        </w:rPr>
        <w:t>лиза Тульская  область квартиры</w:t>
      </w:r>
      <w:r w:rsidRPr="00404C3D">
        <w:t>, а также</w:t>
      </w:r>
      <w:r>
        <w:rPr>
          <w:i/>
        </w:rPr>
        <w:t xml:space="preserve"> </w:t>
      </w:r>
      <w:r>
        <w:t>:</w:t>
      </w:r>
      <w:r w:rsidRPr="00404C3D">
        <w:rPr>
          <w:i/>
        </w:rPr>
        <w:t xml:space="preserve"> </w:t>
      </w:r>
      <w:r w:rsidRPr="002152B1">
        <w:rPr>
          <w:i/>
        </w:rPr>
        <w:t>Приложении 2 «Данные для анализа</w:t>
      </w:r>
      <w:r>
        <w:rPr>
          <w:i/>
        </w:rPr>
        <w:t>»/</w:t>
      </w:r>
      <w:r w:rsidRPr="00404C3D">
        <w:t xml:space="preserve"> </w:t>
      </w:r>
      <w:r>
        <w:rPr>
          <w:i/>
        </w:rPr>
        <w:t xml:space="preserve"> Данные</w:t>
      </w:r>
      <w:r w:rsidRPr="006351AB">
        <w:rPr>
          <w:i/>
        </w:rPr>
        <w:t xml:space="preserve"> для анализа область жилая </w:t>
      </w:r>
      <w:proofErr w:type="spellStart"/>
      <w:r w:rsidRPr="006351AB">
        <w:rPr>
          <w:i/>
        </w:rPr>
        <w:t>недвиж</w:t>
      </w:r>
      <w:r w:rsidRPr="006351AB">
        <w:rPr>
          <w:i/>
        </w:rPr>
        <w:t>и</w:t>
      </w:r>
      <w:r w:rsidRPr="006351AB">
        <w:rPr>
          <w:i/>
        </w:rPr>
        <w:t>мость_домовладения</w:t>
      </w:r>
      <w:proofErr w:type="spellEnd"/>
      <w:r>
        <w:rPr>
          <w:i/>
        </w:rPr>
        <w:t xml:space="preserve">/ </w:t>
      </w:r>
      <w:r w:rsidRPr="001B4222">
        <w:rPr>
          <w:i/>
        </w:rPr>
        <w:t>Приложение новостройки по Тульской облас</w:t>
      </w:r>
      <w:r>
        <w:rPr>
          <w:i/>
        </w:rPr>
        <w:t xml:space="preserve">ти и </w:t>
      </w:r>
      <w:r w:rsidRPr="00404C3D">
        <w:rPr>
          <w:i/>
        </w:rPr>
        <w:t>Приложение по ква</w:t>
      </w:r>
      <w:r w:rsidRPr="00404C3D">
        <w:rPr>
          <w:i/>
        </w:rPr>
        <w:t>р</w:t>
      </w:r>
      <w:r w:rsidRPr="00404C3D">
        <w:rPr>
          <w:i/>
        </w:rPr>
        <w:t>тирам на вторичном рынке по Тульской области</w:t>
      </w:r>
    </w:p>
    <w:p w:rsidR="00F35FE4" w:rsidRDefault="00F35FE4" w:rsidP="00F35FE4">
      <w:pPr>
        <w:pStyle w:val="a6"/>
        <w:jc w:val="right"/>
        <w:sectPr w:rsidR="00F35FE4" w:rsidSect="00191C0D">
          <w:pgSz w:w="11906" w:h="16838"/>
          <w:pgMar w:top="357" w:right="851" w:bottom="539" w:left="1077" w:header="709" w:footer="709" w:gutter="0"/>
          <w:cols w:space="708"/>
          <w:docGrid w:linePitch="360"/>
        </w:sectPr>
      </w:pPr>
    </w:p>
    <w:p w:rsidR="00F35FE4" w:rsidRDefault="00F35FE4" w:rsidP="00F35FE4">
      <w:pPr>
        <w:jc w:val="right"/>
      </w:pPr>
      <w:r w:rsidRPr="006B6744">
        <w:rPr>
          <w:b/>
          <w:sz w:val="20"/>
          <w:szCs w:val="20"/>
        </w:rPr>
        <w:lastRenderedPageBreak/>
        <w:t>Рисунок</w:t>
      </w:r>
      <w:r w:rsidRPr="006B6744">
        <w:rPr>
          <w:b/>
          <w:sz w:val="20"/>
          <w:szCs w:val="20"/>
        </w:rPr>
        <w:fldChar w:fldCharType="begin"/>
      </w:r>
      <w:r w:rsidRPr="006B6744">
        <w:rPr>
          <w:b/>
          <w:sz w:val="20"/>
          <w:szCs w:val="20"/>
        </w:rPr>
        <w:instrText xml:space="preserve"> SEQ Рисунок \* ARABIC </w:instrText>
      </w:r>
      <w:r w:rsidRPr="006B6744">
        <w:rPr>
          <w:b/>
          <w:sz w:val="20"/>
          <w:szCs w:val="20"/>
        </w:rPr>
        <w:fldChar w:fldCharType="separate"/>
      </w:r>
      <w:r w:rsidRPr="006B6744">
        <w:rPr>
          <w:b/>
          <w:noProof/>
          <w:sz w:val="20"/>
          <w:szCs w:val="20"/>
        </w:rPr>
        <w:t>17</w:t>
      </w:r>
      <w:r w:rsidRPr="006B6744">
        <w:rPr>
          <w:b/>
          <w:sz w:val="20"/>
          <w:szCs w:val="20"/>
        </w:rPr>
        <w:fldChar w:fldCharType="end"/>
      </w:r>
      <w:r>
        <w:rPr>
          <w:noProof/>
        </w:rPr>
        <w:drawing>
          <wp:inline distT="0" distB="0" distL="0" distR="0">
            <wp:extent cx="9886950" cy="56100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561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E4" w:rsidRDefault="00F35FE4" w:rsidP="00F35FE4">
      <w:pPr>
        <w:sectPr w:rsidR="00F35FE4" w:rsidSect="00265E32">
          <w:footerReference w:type="even" r:id="rId6"/>
          <w:footerReference w:type="default" r:id="rId7"/>
          <w:pgSz w:w="16838" w:h="11906" w:orient="landscape" w:code="9"/>
          <w:pgMar w:top="1134" w:right="794" w:bottom="1134" w:left="794" w:header="709" w:footer="709" w:gutter="0"/>
          <w:cols w:space="708"/>
          <w:docGrid w:linePitch="360"/>
        </w:sectPr>
      </w:pPr>
    </w:p>
    <w:p w:rsidR="00B7584B" w:rsidRDefault="00B7584B" w:rsidP="00F35FE4"/>
    <w:sectPr w:rsidR="00B7584B" w:rsidSect="00F35FE4">
      <w:pgSz w:w="11906" w:h="16838"/>
      <w:pgMar w:top="79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D2" w:rsidRDefault="00F35FE4" w:rsidP="00A379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CD2" w:rsidRDefault="00F35FE4" w:rsidP="00A379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D2" w:rsidRDefault="00F35FE4" w:rsidP="00A379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82CD2" w:rsidRDefault="00F35FE4" w:rsidP="00A379F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5FE4"/>
    <w:rsid w:val="00596981"/>
    <w:rsid w:val="008E3B18"/>
    <w:rsid w:val="009A3479"/>
    <w:rsid w:val="00B7584B"/>
    <w:rsid w:val="00BA679D"/>
    <w:rsid w:val="00C910F5"/>
    <w:rsid w:val="00F12E74"/>
    <w:rsid w:val="00F3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5F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F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F35F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5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FE4"/>
  </w:style>
  <w:style w:type="paragraph" w:styleId="a6">
    <w:name w:val="caption"/>
    <w:basedOn w:val="a"/>
    <w:next w:val="a"/>
    <w:qFormat/>
    <w:rsid w:val="00F35FE4"/>
    <w:pPr>
      <w:suppressAutoHyphens/>
    </w:pPr>
    <w:rPr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2017-05-08T16:36:00Z</dcterms:created>
  <dcterms:modified xsi:type="dcterms:W3CDTF">2017-05-08T16:37:00Z</dcterms:modified>
</cp:coreProperties>
</file>